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6ADD1" w14:textId="18A2B3DE" w:rsidR="004A5C17" w:rsidRDefault="004A5C17" w:rsidP="004A5C17">
      <w:pPr>
        <w:pStyle w:val="NoSpacing"/>
        <w:jc w:val="center"/>
      </w:pPr>
      <w:r>
        <w:rPr>
          <w:noProof/>
        </w:rPr>
        <w:drawing>
          <wp:inline distT="0" distB="0" distL="0" distR="0" wp14:anchorId="2C2E49E4" wp14:editId="4244DB94">
            <wp:extent cx="3114461" cy="1299210"/>
            <wp:effectExtent l="19050" t="19050" r="10160" b="15240"/>
            <wp:docPr id="884695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95624" name=""/>
                    <pic:cNvPicPr/>
                  </pic:nvPicPr>
                  <pic:blipFill rotWithShape="1">
                    <a:blip r:embed="rId5"/>
                    <a:srcRect l="45250" t="47734" r="12000" b="19313"/>
                    <a:stretch/>
                  </pic:blipFill>
                  <pic:spPr bwMode="auto">
                    <a:xfrm>
                      <a:off x="0" y="0"/>
                      <a:ext cx="3131382" cy="130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E9FB992" wp14:editId="338DDFA2">
            <wp:extent cx="2807562" cy="1672590"/>
            <wp:effectExtent l="19050" t="19050" r="12065" b="22860"/>
            <wp:docPr id="816460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60291" name=""/>
                    <pic:cNvPicPr/>
                  </pic:nvPicPr>
                  <pic:blipFill rotWithShape="1">
                    <a:blip r:embed="rId6"/>
                    <a:srcRect l="45083" t="33260" r="11833" b="19312"/>
                    <a:stretch/>
                  </pic:blipFill>
                  <pic:spPr bwMode="auto">
                    <a:xfrm>
                      <a:off x="0" y="0"/>
                      <a:ext cx="2814469" cy="167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AFDE8" w14:textId="77777777" w:rsidR="004A5C17" w:rsidRDefault="004A5C17" w:rsidP="004A5C17">
      <w:pPr>
        <w:pStyle w:val="NoSpacing"/>
      </w:pPr>
    </w:p>
    <w:p w14:paraId="0165AF90" w14:textId="3839514C" w:rsidR="004A5C17" w:rsidRDefault="004A5C17" w:rsidP="004A5C17">
      <w:pPr>
        <w:pStyle w:val="NoSpacing"/>
        <w:jc w:val="center"/>
      </w:pPr>
      <w:r>
        <w:rPr>
          <w:noProof/>
        </w:rPr>
        <w:drawing>
          <wp:inline distT="0" distB="0" distL="0" distR="0" wp14:anchorId="09F099BE" wp14:editId="2D35F665">
            <wp:extent cx="2366010" cy="3889331"/>
            <wp:effectExtent l="19050" t="19050" r="15240" b="16510"/>
            <wp:docPr id="53123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3177" name=""/>
                    <pic:cNvPicPr/>
                  </pic:nvPicPr>
                  <pic:blipFill rotWithShape="1">
                    <a:blip r:embed="rId7"/>
                    <a:srcRect l="24250" t="21250" r="51417" b="4837"/>
                    <a:stretch/>
                  </pic:blipFill>
                  <pic:spPr bwMode="auto">
                    <a:xfrm>
                      <a:off x="0" y="0"/>
                      <a:ext cx="2372333" cy="3899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D202B" w14:textId="77777777" w:rsidR="004A5C17" w:rsidRDefault="004A5C17" w:rsidP="004A5C17">
      <w:pPr>
        <w:pStyle w:val="NoSpacing"/>
      </w:pPr>
    </w:p>
    <w:p w14:paraId="038EF227" w14:textId="478BE3DD" w:rsidR="004A5C17" w:rsidRPr="004A5C17" w:rsidRDefault="004A5C17" w:rsidP="004A5C17">
      <w:pPr>
        <w:pStyle w:val="NoSpacing"/>
      </w:pPr>
      <w:r>
        <w:rPr>
          <w:b/>
          <w:bCs/>
        </w:rPr>
        <w:t xml:space="preserve">Optimized Chip-on-Wafer </w:t>
      </w:r>
      <w:r w:rsidR="008315A1">
        <w:rPr>
          <w:b/>
          <w:bCs/>
        </w:rPr>
        <w:t xml:space="preserve">Heterogeneous </w:t>
      </w:r>
      <w:r>
        <w:rPr>
          <w:b/>
          <w:bCs/>
        </w:rPr>
        <w:t>Integration</w:t>
      </w:r>
      <w:r w:rsidRPr="0003295E">
        <w:t xml:space="preserve">: </w:t>
      </w:r>
      <w:r w:rsidRPr="004A5C17">
        <w:t xml:space="preserve">Sony researchers will discuss an advanced process for fine-pitch face-to-back (F2B) chip-on-wafer (CoW) integration in 3D heterogeneous integrated systems. It features a novel chemical mechanical polishing (CMP) process </w:t>
      </w:r>
      <w:r w:rsidRPr="004A5C17">
        <w:rPr>
          <w:rFonts w:eastAsiaTheme="minorEastAsia" w:hint="eastAsia"/>
          <w:lang w:eastAsia="ja-JP"/>
        </w:rPr>
        <w:t xml:space="preserve">that </w:t>
      </w:r>
      <w:r w:rsidRPr="004A5C17">
        <w:t>incorporat</w:t>
      </w:r>
      <w:r w:rsidRPr="004A5C17">
        <w:rPr>
          <w:rFonts w:eastAsiaTheme="minorEastAsia" w:hint="eastAsia"/>
          <w:lang w:eastAsia="ja-JP"/>
        </w:rPr>
        <w:t>es</w:t>
      </w:r>
      <w:r w:rsidRPr="004A5C17">
        <w:t xml:space="preserve"> oxidation inhibitors to optimize Cu recess control for enhanced fine-pitch Cu–Cu hybrid bonding. They successfully implemented the </w:t>
      </w:r>
      <w:r w:rsidRPr="004A5C17">
        <w:rPr>
          <w:rFonts w:eastAsiaTheme="minorEastAsia" w:hint="eastAsia"/>
          <w:lang w:eastAsia="ja-JP"/>
        </w:rPr>
        <w:t xml:space="preserve">optimized </w:t>
      </w:r>
      <w:r w:rsidRPr="004A5C17">
        <w:t xml:space="preserve">process on a single chip </w:t>
      </w:r>
      <w:r w:rsidRPr="004A5C17">
        <w:rPr>
          <w:rFonts w:eastAsiaTheme="minorEastAsia"/>
          <w:lang w:eastAsia="ja-JP"/>
        </w:rPr>
        <w:t>for</w:t>
      </w:r>
      <w:r w:rsidRPr="004A5C17">
        <w:t xml:space="preserve"> various pad sizes (from 3.0 µm to 1.0 µm), achieved void-free bonding, and saw </w:t>
      </w:r>
      <w:r w:rsidRPr="004A5C17">
        <w:rPr>
          <w:rFonts w:eastAsiaTheme="minorEastAsia"/>
          <w:lang w:eastAsia="ja-JP"/>
        </w:rPr>
        <w:t xml:space="preserve">a </w:t>
      </w:r>
      <w:r w:rsidRPr="004A5C17">
        <w:t>significant improve</w:t>
      </w:r>
      <w:r w:rsidRPr="004A5C17">
        <w:rPr>
          <w:rFonts w:eastAsiaTheme="minorEastAsia" w:hint="eastAsia"/>
          <w:lang w:eastAsia="ja-JP"/>
        </w:rPr>
        <w:t xml:space="preserve">ment in </w:t>
      </w:r>
      <w:r w:rsidRPr="004A5C17">
        <w:t>Kelvin connection yields (i.e., low-resistance connections) versus</w:t>
      </w:r>
      <w:r w:rsidRPr="004A5C17">
        <w:rPr>
          <w:rFonts w:eastAsiaTheme="minorEastAsia" w:hint="eastAsia"/>
          <w:lang w:eastAsia="ja-JP"/>
        </w:rPr>
        <w:t xml:space="preserve"> </w:t>
      </w:r>
      <w:r w:rsidRPr="004A5C17">
        <w:t xml:space="preserve">conventional processing. </w:t>
      </w:r>
      <w:r w:rsidRPr="004A5C17">
        <w:rPr>
          <w:rFonts w:eastAsiaTheme="minorEastAsia"/>
          <w:lang w:eastAsia="ja-JP"/>
        </w:rPr>
        <w:t xml:space="preserve">Moreover, </w:t>
      </w:r>
      <w:r w:rsidRPr="004A5C17">
        <w:t xml:space="preserve">excellent electromigration resistance was observed, with projected </w:t>
      </w:r>
      <w:r w:rsidRPr="004A5C17">
        <w:rPr>
          <w:rFonts w:eastAsiaTheme="minorEastAsia" w:hint="eastAsia"/>
          <w:lang w:eastAsia="ja-JP"/>
        </w:rPr>
        <w:t xml:space="preserve">device </w:t>
      </w:r>
      <w:r w:rsidRPr="004A5C17">
        <w:t>lifetimes exceeding 10 years</w:t>
      </w:r>
      <w:r w:rsidRPr="004A5C17">
        <w:rPr>
          <w:rFonts w:eastAsiaTheme="minorEastAsia" w:hint="eastAsia"/>
          <w:lang w:eastAsia="ja-JP"/>
        </w:rPr>
        <w:t xml:space="preserve">. </w:t>
      </w:r>
      <w:r w:rsidRPr="004A5C17">
        <w:t xml:space="preserve">The researchers say these results </w:t>
      </w:r>
      <w:r w:rsidRPr="004A5C17">
        <w:rPr>
          <w:rFonts w:eastAsiaTheme="minorEastAsia"/>
          <w:lang w:eastAsia="ja-JP"/>
        </w:rPr>
        <w:t>validate</w:t>
      </w:r>
      <w:r w:rsidRPr="004A5C17">
        <w:t xml:space="preserve"> the effectiveness of the proposed fabrication </w:t>
      </w:r>
      <w:r w:rsidRPr="004A5C17">
        <w:rPr>
          <w:rFonts w:eastAsiaTheme="minorEastAsia" w:hint="eastAsia"/>
          <w:lang w:eastAsia="ja-JP"/>
        </w:rPr>
        <w:t xml:space="preserve">process </w:t>
      </w:r>
      <w:r w:rsidRPr="004A5C17">
        <w:t>for high-density three-layer stacked chip-on-wafer-on-wafer (CoWoW) structures, such as stacked back-illuminated CMOS image sensors (BI-CIS).</w:t>
      </w:r>
    </w:p>
    <w:p w14:paraId="1DE5C6C3" w14:textId="10B26BEA" w:rsidR="004A5C17" w:rsidRPr="004A5C17" w:rsidRDefault="004A5C17" w:rsidP="004A5C17">
      <w:pPr>
        <w:pStyle w:val="NoSpacing"/>
      </w:pPr>
    </w:p>
    <w:p w14:paraId="031C397E" w14:textId="2F6C6B5C" w:rsidR="004A5C17" w:rsidRPr="004A5C17" w:rsidRDefault="004A5C17" w:rsidP="004A5C17">
      <w:pPr>
        <w:pStyle w:val="NoSpacing"/>
        <w:numPr>
          <w:ilvl w:val="0"/>
          <w:numId w:val="1"/>
        </w:numPr>
      </w:pPr>
      <w:r w:rsidRPr="004A5C17">
        <w:rPr>
          <w:b/>
          <w:bCs/>
        </w:rPr>
        <w:t>Top left image</w:t>
      </w:r>
      <w:r w:rsidRPr="004A5C17">
        <w:t>: The evolution and future prospects of stacked back-illuminated CMOS image sensors (BI-CIS).</w:t>
      </w:r>
    </w:p>
    <w:p w14:paraId="2224CB67" w14:textId="0EBCB285" w:rsidR="004A5C17" w:rsidRPr="004A5C17" w:rsidRDefault="004A5C17" w:rsidP="004A5C17">
      <w:pPr>
        <w:pStyle w:val="NoSpacing"/>
        <w:numPr>
          <w:ilvl w:val="0"/>
          <w:numId w:val="1"/>
        </w:numPr>
      </w:pPr>
      <w:r w:rsidRPr="004A5C17">
        <w:rPr>
          <w:b/>
          <w:bCs/>
        </w:rPr>
        <w:t>Top right image</w:t>
      </w:r>
      <w:r w:rsidRPr="004A5C17">
        <w:t xml:space="preserve">: Schematic diagram of a 3-layer vertically stacked structure (CoWoW). The middle and bottom wafers are connected via face-to-face (F2F) WoW. The top chip is placed face-down on the </w:t>
      </w:r>
      <w:r w:rsidRPr="004A5C17">
        <w:rPr>
          <w:rFonts w:hint="eastAsia"/>
        </w:rPr>
        <w:t>back</w:t>
      </w:r>
      <w:r w:rsidRPr="004A5C17">
        <w:t>side Cu pads of the middle wafer.</w:t>
      </w:r>
    </w:p>
    <w:p w14:paraId="6BDD1E6E" w14:textId="170F1E05" w:rsidR="004A5C17" w:rsidRPr="004A5C17" w:rsidRDefault="004A5C17" w:rsidP="004A5C17">
      <w:pPr>
        <w:pStyle w:val="NoSpacing"/>
        <w:numPr>
          <w:ilvl w:val="0"/>
          <w:numId w:val="1"/>
        </w:numPr>
      </w:pPr>
      <w:r w:rsidRPr="004A5C17">
        <w:rPr>
          <w:b/>
          <w:bCs/>
        </w:rPr>
        <w:t>Lower image</w:t>
      </w:r>
      <w:r w:rsidRPr="004A5C17">
        <w:t>: Cross-sectional SEM image</w:t>
      </w:r>
      <w:r w:rsidRPr="004A5C17">
        <w:rPr>
          <w:rFonts w:hint="eastAsia"/>
        </w:rPr>
        <w:t>s</w:t>
      </w:r>
      <w:r w:rsidRPr="004A5C17">
        <w:t xml:space="preserve"> of daisy chains for</w:t>
      </w:r>
      <w:r w:rsidRPr="004A5C17">
        <w:rPr>
          <w:rFonts w:hint="eastAsia"/>
        </w:rPr>
        <w:t xml:space="preserve"> </w:t>
      </w:r>
      <w:r w:rsidRPr="004A5C17">
        <w:t>(a) 3.0-µm pad/6.0-µm pitch, (b)</w:t>
      </w:r>
      <w:r w:rsidRPr="004A5C17">
        <w:rPr>
          <w:rFonts w:hint="eastAsia"/>
        </w:rPr>
        <w:t xml:space="preserve"> </w:t>
      </w:r>
      <w:r w:rsidRPr="004A5C17">
        <w:t xml:space="preserve">1.4-µm pad/2.8-µm pitch, and </w:t>
      </w:r>
      <w:r w:rsidRPr="004A5C17">
        <w:rPr>
          <w:rFonts w:hint="eastAsia"/>
        </w:rPr>
        <w:t xml:space="preserve">(c) </w:t>
      </w:r>
      <w:r w:rsidRPr="004A5C17">
        <w:t>1.0-µm pad/2.0-µm pitch.</w:t>
      </w:r>
    </w:p>
    <w:p w14:paraId="5EA10673" w14:textId="77777777" w:rsidR="004A5C17" w:rsidRPr="004A5C17" w:rsidRDefault="004A5C17" w:rsidP="004A5C17">
      <w:pPr>
        <w:pStyle w:val="NoSpacing"/>
        <w:rPr>
          <w:sz w:val="22"/>
          <w:szCs w:val="22"/>
        </w:rPr>
      </w:pPr>
    </w:p>
    <w:p w14:paraId="4D750A25" w14:textId="628152D3" w:rsidR="004A5C17" w:rsidRPr="0003295E" w:rsidRDefault="004A5C17" w:rsidP="004A5C17">
      <w:pPr>
        <w:pStyle w:val="NoSpacing"/>
        <w:rPr>
          <w:b/>
          <w:bCs/>
          <w:sz w:val="20"/>
          <w:szCs w:val="20"/>
        </w:rPr>
      </w:pPr>
      <w:r w:rsidRPr="0003295E">
        <w:rPr>
          <w:b/>
          <w:bCs/>
          <w:sz w:val="20"/>
          <w:szCs w:val="20"/>
        </w:rPr>
        <w:t>(IP session #39, “</w:t>
      </w:r>
      <w:r w:rsidRPr="0003295E">
        <w:rPr>
          <w:b/>
          <w:bCs/>
          <w:i/>
          <w:iCs/>
          <w:sz w:val="20"/>
          <w:szCs w:val="20"/>
        </w:rPr>
        <w:t>Advanced Face-To-Back CoW 2.0-µm pitch Cu–Cu Hybrid Bonding Process for Three Layer-Stacked 3D Heterogeneous Integration</w:t>
      </w:r>
      <w:r w:rsidRPr="0003295E">
        <w:rPr>
          <w:b/>
          <w:bCs/>
          <w:sz w:val="20"/>
          <w:szCs w:val="20"/>
        </w:rPr>
        <w:t>,” A. Urat</w:t>
      </w:r>
      <w:r>
        <w:rPr>
          <w:b/>
          <w:bCs/>
          <w:sz w:val="20"/>
          <w:szCs w:val="20"/>
        </w:rPr>
        <w:t>a</w:t>
      </w:r>
      <w:r w:rsidRPr="0003295E">
        <w:rPr>
          <w:b/>
          <w:bCs/>
          <w:sz w:val="20"/>
          <w:szCs w:val="20"/>
        </w:rPr>
        <w:t xml:space="preserve"> et al, Sony) </w:t>
      </w:r>
    </w:p>
    <w:p w14:paraId="17E87FA1" w14:textId="77777777" w:rsidR="004A5C17" w:rsidRDefault="004A5C17" w:rsidP="004A5C17">
      <w:pPr>
        <w:pStyle w:val="NoSpacing"/>
      </w:pPr>
    </w:p>
    <w:sectPr w:rsidR="004A5C17" w:rsidSect="004A5C17">
      <w:pgSz w:w="12240" w:h="15840"/>
      <w:pgMar w:top="288" w:right="288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272D6"/>
    <w:multiLevelType w:val="hybridMultilevel"/>
    <w:tmpl w:val="AC6A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953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17"/>
    <w:rsid w:val="000B654D"/>
    <w:rsid w:val="001315EE"/>
    <w:rsid w:val="001472C1"/>
    <w:rsid w:val="004A5C17"/>
    <w:rsid w:val="007D037A"/>
    <w:rsid w:val="008315A1"/>
    <w:rsid w:val="008C3C7D"/>
    <w:rsid w:val="00BB1EBD"/>
    <w:rsid w:val="00CB1ADB"/>
    <w:rsid w:val="00DE75B0"/>
    <w:rsid w:val="00EF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FC620"/>
  <w15:chartTrackingRefBased/>
  <w15:docId w15:val="{36D41B2E-8A19-4E74-9CAF-D0B2C96BF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C7D"/>
  </w:style>
  <w:style w:type="paragraph" w:styleId="Heading1">
    <w:name w:val="heading 1"/>
    <w:basedOn w:val="Normal"/>
    <w:next w:val="Normal"/>
    <w:link w:val="Heading1Char"/>
    <w:uiPriority w:val="9"/>
    <w:qFormat/>
    <w:rsid w:val="004A5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C1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C1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C1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C1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C1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C1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C1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C7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5C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C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C1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C1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C1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C1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C1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C1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C1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C1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C1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C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C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C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C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C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C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Dagastine</dc:creator>
  <cp:keywords/>
  <dc:description/>
  <cp:lastModifiedBy>Gary Dagastine</cp:lastModifiedBy>
  <cp:revision>2</cp:revision>
  <dcterms:created xsi:type="dcterms:W3CDTF">2025-04-04T13:05:00Z</dcterms:created>
  <dcterms:modified xsi:type="dcterms:W3CDTF">2025-04-04T13:05:00Z</dcterms:modified>
</cp:coreProperties>
</file>